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before="0" w:line="240" w:lineRule="auto"/>
      </w:pPr>
      <w:r>
        <w:rPr>
          <w:rFonts w:ascii="Calibri" w:hAnsi="Calibri"/>
          <w:b w:val="0"/>
          <w:i w:val="0"/>
          <w:sz w:val="21"/>
        </w:rPr>
        <w:t>[Patient Advocacy Organization Letterhead]</w:t>
      </w:r>
    </w:p>
    <w:p>
      <w:pPr>
        <w:spacing w:after="240" w:before="0" w:line="240" w:lineRule="auto"/>
      </w:pPr>
      <w:r>
        <w:rPr>
          <w:rFonts w:ascii="Calibri" w:hAnsi="Calibri"/>
          <w:b w:val="0"/>
          <w:i w:val="0"/>
          <w:sz w:val="21"/>
        </w:rPr>
        <w:t>[Date]</w:t>
      </w:r>
    </w:p>
    <w:p>
      <w:pPr>
        <w:spacing w:after="0" w:before="0" w:line="240" w:lineRule="auto"/>
      </w:pPr>
      <w:r>
        <w:rPr>
          <w:rFonts w:ascii="Calibri" w:hAnsi="Calibri"/>
          <w:b w:val="0"/>
          <w:i w:val="0"/>
          <w:sz w:val="21"/>
        </w:rPr>
        <w:t>Jim Foote</w:t>
      </w:r>
    </w:p>
    <w:p>
      <w:pPr>
        <w:spacing w:after="0" w:before="0" w:line="240" w:lineRule="auto"/>
      </w:pPr>
      <w:r>
        <w:rPr>
          <w:rFonts w:ascii="Calibri" w:hAnsi="Calibri"/>
          <w:b w:val="0"/>
          <w:i w:val="0"/>
          <w:sz w:val="21"/>
        </w:rPr>
        <w:t>Chief Executive Officer</w:t>
      </w:r>
    </w:p>
    <w:p>
      <w:pPr>
        <w:spacing w:after="0" w:before="0" w:line="240" w:lineRule="auto"/>
      </w:pPr>
      <w:r>
        <w:rPr>
          <w:rFonts w:ascii="Calibri" w:hAnsi="Calibri"/>
          <w:b w:val="0"/>
          <w:i w:val="0"/>
          <w:sz w:val="21"/>
        </w:rPr>
        <w:t>First Ascent Biomedical</w:t>
      </w:r>
    </w:p>
    <w:p>
      <w:pPr>
        <w:spacing w:after="0" w:before="0" w:line="240" w:lineRule="auto"/>
      </w:pPr>
      <w:r>
        <w:rPr>
          <w:rFonts w:ascii="Calibri" w:hAnsi="Calibri"/>
          <w:b w:val="0"/>
          <w:i w:val="0"/>
          <w:sz w:val="21"/>
        </w:rPr>
        <w:t>jfoote@firstascentbio.com</w:t>
      </w:r>
    </w:p>
    <w:p>
      <w:pPr>
        <w:spacing w:after="120" w:before="0" w:line="240" w:lineRule="auto"/>
      </w:pPr>
    </w:p>
    <w:p>
      <w:pPr>
        <w:spacing w:after="160" w:before="0" w:line="240" w:lineRule="auto"/>
      </w:pPr>
      <w:r>
        <w:rPr>
          <w:rFonts w:ascii="Calibri" w:hAnsi="Calibri"/>
          <w:b/>
          <w:i w:val="0"/>
          <w:sz w:val="21"/>
        </w:rPr>
        <w:t>Re:</w:t>
      </w:r>
      <w:r>
        <w:rPr>
          <w:rFonts w:ascii="Calibri" w:hAnsi="Calibri"/>
          <w:b w:val="0"/>
          <w:i w:val="0"/>
          <w:sz w:val="21"/>
        </w:rPr>
        <w:t xml:space="preserve"> Patient Advocacy Support for Right to Try Modernization</w:t>
      </w:r>
    </w:p>
    <w:p>
      <w:pPr>
        <w:spacing w:after="120" w:before="0" w:line="240" w:lineRule="auto"/>
      </w:pPr>
      <w:r>
        <w:rPr>
          <w:rFonts w:ascii="Calibri" w:hAnsi="Calibri"/>
          <w:b w:val="0"/>
          <w:i w:val="0"/>
          <w:sz w:val="21"/>
        </w:rPr>
        <w:t>Dear Mr. Foote:</w:t>
      </w:r>
    </w:p>
    <w:p>
      <w:pPr>
        <w:spacing w:after="80" w:before="0" w:line="240" w:lineRule="auto"/>
      </w:pPr>
      <w:r>
        <w:rPr>
          <w:rFonts w:ascii="Calibri" w:hAnsi="Calibri"/>
          <w:b w:val="0"/>
          <w:i w:val="0"/>
          <w:sz w:val="21"/>
        </w:rPr>
        <w:t>On behalf of [Patient Advocacy Organization], I am pleased to provide this letter of support for the proposed modernization of the federal Right to Try Act. You may share this letter with members of Congress, congressional staff, state and local officials, agency personnel, coalition partners, and other stakeholders working to advance this effort.</w:t>
      </w:r>
    </w:p>
    <w:p>
      <w:pPr>
        <w:spacing w:after="80" w:before="0" w:line="240" w:lineRule="auto"/>
      </w:pPr>
      <w:r>
        <w:rPr>
          <w:rFonts w:ascii="Calibri" w:hAnsi="Calibri"/>
          <w:b w:val="0"/>
          <w:i w:val="0"/>
          <w:sz w:val="21"/>
        </w:rPr>
        <w:t>Our organization supports patients and families facing serious, life-threatening, and severely debilitating conditions. These families often confront limited options, urgent timelines, and difficult decisions after standard therapies have been exhausted or are unlikely to provide meaningful benefit.</w:t>
      </w:r>
    </w:p>
    <w:p>
      <w:pPr>
        <w:spacing w:after="80" w:before="0" w:line="240" w:lineRule="auto"/>
      </w:pPr>
      <w:r>
        <w:rPr>
          <w:rFonts w:ascii="Calibri" w:hAnsi="Calibri"/>
          <w:b w:val="0"/>
          <w:i w:val="0"/>
          <w:sz w:val="21"/>
        </w:rPr>
        <w:t>Modern medicine is increasingly individualized, but federal patient-access laws have not fully kept pace. The proposed amendment would allow eligible patients, with physician oversight and informed consent, to seek access to investigational individualized medical treatments, including drugs, biological products, and advanced biological technologies tailored to a patient's unique biology. It would also allow access to certain non-invasive investigational medical devices, including AI/ML-enabled medical device software that supports clinician decision-making.</w:t>
      </w:r>
    </w:p>
    <w:p>
      <w:pPr>
        <w:spacing w:after="80" w:before="0" w:line="240" w:lineRule="auto"/>
      </w:pPr>
      <w:r>
        <w:rPr>
          <w:rFonts w:ascii="Calibri" w:hAnsi="Calibri"/>
          <w:b w:val="0"/>
          <w:i w:val="0"/>
          <w:sz w:val="21"/>
        </w:rPr>
        <w:t>This proposal is narrow, practical, and low risk. It does not authorize implantable, surgical, or hardware-based devices; does not allow autonomous AI to make treatment decisions; does not require any manufacturer to provide access; and does not alter FDA pre-market authority outside the Right to Try access pathway. Instead, it preserves physician judgment, informed consent, and appropriate guardrails while giving eligible patients and their physicians a modernized pathway to consider options that current law does not adequately address.</w:t>
      </w:r>
    </w:p>
    <w:p>
      <w:pPr>
        <w:spacing w:after="80" w:before="0" w:line="240" w:lineRule="auto"/>
      </w:pPr>
      <w:r>
        <w:rPr>
          <w:rFonts w:ascii="Calibri" w:hAnsi="Calibri"/>
          <w:b w:val="0"/>
          <w:i w:val="0"/>
          <w:sz w:val="21"/>
        </w:rPr>
        <w:t>The individualized-treatment component of this modernization has already been enacted at the state level in 17 states, reflecting broad recognition that patient-access laws need to evolve with science.</w:t>
      </w:r>
    </w:p>
    <w:p>
      <w:pPr>
        <w:spacing w:after="80" w:before="0" w:line="240" w:lineRule="auto"/>
      </w:pPr>
      <w:r>
        <w:rPr>
          <w:rFonts w:ascii="Calibri" w:hAnsi="Calibri"/>
          <w:b w:val="0"/>
          <w:i w:val="0"/>
          <w:sz w:val="21"/>
        </w:rPr>
        <w:t>Patients and families should not be denied a responsible access pathway simply because innovation has moved faster than the statute. We support this effort and encourage elected officials, patient networks, clinicians, nonprofits, and community leaders to consider submitting their own letters of support directly to their elected officials.</w:t>
      </w:r>
    </w:p>
    <w:p>
      <w:pPr>
        <w:spacing w:after="80" w:before="0" w:line="240" w:lineRule="auto"/>
      </w:pPr>
    </w:p>
    <w:p>
      <w:pPr>
        <w:spacing w:after="0" w:before="0" w:line="240" w:lineRule="auto"/>
      </w:pPr>
      <w:r>
        <w:rPr>
          <w:rFonts w:ascii="Calibri" w:hAnsi="Calibri"/>
          <w:b w:val="0"/>
          <w:i w:val="0"/>
          <w:sz w:val="21"/>
        </w:rPr>
        <w:t>Sincerely,</w:t>
      </w:r>
    </w:p>
    <w:p>
      <w:pPr>
        <w:spacing w:after="360" w:before="0" w:line="240" w:lineRule="auto"/>
      </w:pPr>
    </w:p>
    <w:p>
      <w:pPr>
        <w:spacing w:after="0" w:before="0" w:line="240" w:lineRule="auto"/>
      </w:pPr>
      <w:r>
        <w:rPr>
          <w:rFonts w:ascii="Calibri" w:hAnsi="Calibri"/>
          <w:b w:val="0"/>
          <w:i w:val="0"/>
          <w:sz w:val="21"/>
        </w:rPr>
        <w:t>[Name]</w:t>
      </w:r>
    </w:p>
    <w:p>
      <w:pPr>
        <w:spacing w:after="0" w:before="0" w:line="240" w:lineRule="auto"/>
      </w:pPr>
      <w:r>
        <w:rPr>
          <w:rFonts w:ascii="Calibri" w:hAnsi="Calibri"/>
          <w:b w:val="0"/>
          <w:i w:val="0"/>
          <w:sz w:val="21"/>
        </w:rPr>
        <w:t>[Title]</w:t>
      </w:r>
    </w:p>
    <w:p>
      <w:pPr>
        <w:spacing w:after="0" w:before="0" w:line="240" w:lineRule="auto"/>
      </w:pPr>
      <w:r>
        <w:rPr>
          <w:rFonts w:ascii="Calibri" w:hAnsi="Calibri"/>
          <w:b w:val="0"/>
          <w:i w:val="0"/>
          <w:sz w:val="21"/>
        </w:rPr>
        <w:t>[Patient Advocacy Organization]</w:t>
      </w:r>
    </w:p>
    <w:p>
      <w:pPr>
        <w:spacing w:after="0" w:before="0" w:line="240" w:lineRule="auto"/>
      </w:pPr>
      <w:r>
        <w:rPr>
          <w:rFonts w:ascii="Calibri" w:hAnsi="Calibri"/>
          <w:b w:val="0"/>
          <w:i w:val="0"/>
          <w:sz w:val="21"/>
        </w:rPr>
        <w:t>[Email] | [Phone]</w:t>
      </w:r>
    </w:p>
    <w:sectPr w:rsidR="00FC693F" w:rsidRPr="0006063C" w:rsidSect="00034616">
      <w:pgSz w:w="12240" w:h="15840"/>
      <w:pgMar w:top="936" w:right="1181" w:bottom="936"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